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CDF83" w14:textId="77777777" w:rsidR="00590460" w:rsidRDefault="00000000">
      <w:pPr>
        <w:spacing w:after="20"/>
      </w:pPr>
      <w:r>
        <w:rPr>
          <w:rFonts w:ascii="Arial" w:eastAsia="Arial" w:hAnsi="Arial" w:cs="Arial"/>
          <w:b/>
          <w:bCs/>
          <w:color w:val="0B0F1A"/>
          <w:sz w:val="34"/>
          <w:szCs w:val="34"/>
        </w:rPr>
        <w:t>Executive Concept Brief</w:t>
      </w:r>
    </w:p>
    <w:p w14:paraId="521792F5" w14:textId="77777777" w:rsidR="00590460" w:rsidRDefault="00000000">
      <w:pPr>
        <w:spacing w:after="100"/>
      </w:pPr>
      <w:r>
        <w:rPr>
          <w:rFonts w:ascii="Arial" w:eastAsia="Arial" w:hAnsi="Arial" w:cs="Arial"/>
          <w:i/>
          <w:iCs/>
          <w:color w:val="0F5E6A"/>
          <w:sz w:val="17"/>
          <w:szCs w:val="17"/>
        </w:rPr>
        <w:t>The Physician Extender Service (PES) — a clinical intelligence and escalation layer that complements existing population health, RPM, RTM, and care management programs.</w:t>
      </w:r>
    </w:p>
    <w:p w14:paraId="6D6DB045"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01  </w:t>
      </w:r>
      <w:r>
        <w:rPr>
          <w:rFonts w:ascii="Arial" w:eastAsia="Arial" w:hAnsi="Arial" w:cs="Arial"/>
          <w:b/>
          <w:bCs/>
          <w:color w:val="0B0F1A"/>
          <w:sz w:val="16"/>
          <w:szCs w:val="16"/>
        </w:rPr>
        <w:t>THE CHALLENGE</w:t>
      </w:r>
    </w:p>
    <w:p w14:paraId="24103D28" w14:textId="77777777" w:rsidR="00590460" w:rsidRDefault="00000000">
      <w:pPr>
        <w:spacing w:after="80"/>
      </w:pPr>
      <w:r>
        <w:rPr>
          <w:rFonts w:ascii="Georgia" w:eastAsia="Georgia" w:hAnsi="Georgia" w:cs="Georgia"/>
          <w:color w:val="444444"/>
          <w:sz w:val="17"/>
          <w:szCs w:val="17"/>
        </w:rPr>
        <w:t>Chronic disease patients spend less than one percent of their lives in contact with a physician. In the months between visits, conditions deteriorate silently — often reaching the emergency department before reaching the care team. The data and monitoring infrastructure already exist. What does not yet exist, with clinical rigor, is the clinical intelligence and escalation layer that determines what that data means and what should be done about it.</w:t>
      </w:r>
    </w:p>
    <w:p w14:paraId="1E06E533"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02  </w:t>
      </w:r>
      <w:r>
        <w:rPr>
          <w:rFonts w:ascii="Arial" w:eastAsia="Arial" w:hAnsi="Arial" w:cs="Arial"/>
          <w:b/>
          <w:bCs/>
          <w:color w:val="0B0F1A"/>
          <w:sz w:val="16"/>
          <w:szCs w:val="16"/>
        </w:rPr>
        <w:t>THE SOLUTION</w:t>
      </w:r>
    </w:p>
    <w:p w14:paraId="09939BD0" w14:textId="7FC66326" w:rsidR="00590460" w:rsidRDefault="00000000">
      <w:pPr>
        <w:spacing w:after="80"/>
      </w:pPr>
      <w:r>
        <w:rPr>
          <w:rFonts w:ascii="Georgia" w:eastAsia="Georgia" w:hAnsi="Georgia" w:cs="Georgia"/>
          <w:color w:val="444444"/>
          <w:sz w:val="17"/>
          <w:szCs w:val="17"/>
        </w:rPr>
        <w:t xml:space="preserve">PES is a clinical intelligence and escalation layer for the months between visits. A Patient Engagement Specialist conducts structured outreach, ambient AI documents each interaction and applies a preliminary classification, and a registered nurse validates the findings before escalation to the clinician responsible for that patient's care. PES is not a monitoring device, not a contact center, not an AI diagnostic tool, and it does not replace the PCP — it complements existing Remote Patient Monitoring (RPM), Remote Therapeutic Monitoring (RTM), and care management programs already in place.</w:t>
      </w:r>
    </w:p>
    <w:p w14:paraId="7ECD3C92" w14:textId="25342A1D" w:rsidR="00590460" w:rsidRDefault="00000000">
      <w:pPr>
        <w:spacing w:after="100"/>
      </w:pPr>
      <w:r>
        <w:rPr>
          <w:rFonts w:ascii="Georgia" w:eastAsia="Georgia" w:hAnsi="Georgia" w:cs="Georgia"/>
          <w:color w:val="444444"/>
          <w:sz w:val="17"/>
          <w:szCs w:val="17"/>
        </w:rPr>
        <w:t xml:space="preserve">Ambient AI assigns each interaction a preliminary Green (stable), Yellow (early clinical drift), or Red (physician-level review required) classification. A registered nurse validates the information and classification, manages Yellow cases, and coordinates with the practice; a PES physician evaluates Red cases and provides recommendations or a clinical summary to the PCP. Authority for diagnosis, treatment, and patient management remains with the PCP.</w:t>
      </w:r>
    </w:p>
    <w:p w14:paraId="2299AE38"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03  </w:t>
      </w:r>
      <w:r>
        <w:rPr>
          <w:rFonts w:ascii="Arial" w:eastAsia="Arial" w:hAnsi="Arial" w:cs="Arial"/>
          <w:b/>
          <w:bCs/>
          <w:color w:val="0B0F1A"/>
          <w:sz w:val="16"/>
          <w:szCs w:val="16"/>
        </w:rPr>
        <w:t>SIMPLE WORKFLOW</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80"/>
        <w:gridCol w:w="1200"/>
        <w:gridCol w:w="280"/>
        <w:gridCol w:w="2100"/>
        <w:gridCol w:w="280"/>
        <w:gridCol w:w="1500"/>
        <w:gridCol w:w="280"/>
        <w:gridCol w:w="1550"/>
        <w:gridCol w:w="280"/>
        <w:gridCol w:w="1130"/>
      </w:tblGrid>
      <w:tr w:rsidR="00590460" w14:paraId="00000001" w14:textId="77777777">
        <w:tblPrEx>
          <w:tblCellMar>
            <w:top w:w="0" w:type="dxa"/>
            <w:bottom w:w="0" w:type="dxa"/>
          </w:tblCellMar>
        </w:tblPrEx>
        <w:tc>
          <w:tcPr>
            <w:tcW w:w="12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Patient</w:t>
            </w:r>
          </w:p>
          <w:p w14:paraId="00000000" w14:textId="77777777" w:rsidR="00590460" w:rsidRDefault="00000000">
            <w:pPr>
              <w:jc w:val="center"/>
            </w:pPr>
            <w:r>
              <w:rPr>
                <w:rFonts w:ascii="Arial" w:eastAsia="Arial" w:hAnsi="Arial" w:cs="Arial"/>
                <w:b/>
                <w:bCs/>
                <w:color w:val="0B0F1A"/>
                <w:sz w:val="14"/>
                <w:szCs w:val="14"/>
              </w:rPr>
              <w:t>Between Visits</w:t>
            </w:r>
          </w:p>
        </w:tc>
        <w:tc>
          <w:tcPr>
            <w:tcW w:w="280" w:type="dxa"/>
            <w:vAlign w:val="center"/>
          </w:tcPr>
          <w:p w14:paraId="00000000" w14:textId="77777777" w:rsidR="00590460" w:rsidRDefault="00000000">
            <w:pPr>
              <w:jc w:val="center"/>
            </w:pPr>
            <w:r>
              <w:rPr>
                <w:rFonts w:ascii="Arial" w:eastAsia="Arial" w:hAnsi="Arial" w:cs="Arial"/>
                <w:b/>
                <w:bCs/>
                <w:color w:val="A8841F"/>
              </w:rPr>
              <w:t>→</w:t>
            </w:r>
          </w:p>
        </w:tc>
        <w:tc>
          <w:tcPr>
            <w:tcW w:w="12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Engagement</w:t>
            </w:r>
          </w:p>
          <w:p w14:paraId="00000000" w14:textId="77777777" w:rsidR="00590460" w:rsidRDefault="00000000">
            <w:pPr>
              <w:jc w:val="center"/>
            </w:pPr>
            <w:r>
              <w:rPr>
                <w:rFonts w:ascii="Arial" w:eastAsia="Arial" w:hAnsi="Arial" w:cs="Arial"/>
                <w:b/>
                <w:bCs/>
                <w:color w:val="0B0F1A"/>
                <w:sz w:val="14"/>
                <w:szCs w:val="14"/>
              </w:rPr>
              <w:t>Specialist</w:t>
            </w:r>
          </w:p>
        </w:tc>
        <w:tc>
          <w:tcPr>
            <w:tcW w:w="280" w:type="dxa"/>
            <w:vAlign w:val="center"/>
          </w:tcPr>
          <w:p w14:paraId="00000000" w14:textId="77777777" w:rsidR="00590460" w:rsidRDefault="00000000">
            <w:pPr>
              <w:jc w:val="center"/>
            </w:pPr>
            <w:r>
              <w:rPr>
                <w:rFonts w:ascii="Arial" w:eastAsia="Arial" w:hAnsi="Arial" w:cs="Arial"/>
                <w:b/>
                <w:bCs/>
                <w:color w:val="A8841F"/>
              </w:rPr>
              <w:t>→</w:t>
            </w:r>
          </w:p>
        </w:tc>
        <w:tc>
          <w:tcPr>
            <w:tcW w:w="21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Ambient AI Documentation</w:t>
            </w:r>
          </w:p>
          <w:p w14:paraId="00000000" w14:textId="77777777" w:rsidR="00590460" w:rsidRDefault="00000000">
            <w:pPr>
              <w:jc w:val="center"/>
            </w:pPr>
            <w:r>
              <w:rPr>
                <w:rFonts w:ascii="Arial" w:eastAsia="Arial" w:hAnsi="Arial" w:cs="Arial"/>
                <w:b/>
                <w:bCs/>
                <w:color w:val="0B0F1A"/>
                <w:sz w:val="14"/>
                <w:szCs w:val="14"/>
              </w:rPr>
              <w:t>and Preliminary Classification</w:t>
            </w:r>
          </w:p>
        </w:tc>
        <w:tc>
          <w:tcPr>
            <w:tcW w:w="280" w:type="dxa"/>
            <w:vAlign w:val="center"/>
          </w:tcPr>
          <w:p w14:paraId="00000000" w14:textId="77777777" w:rsidR="00590460" w:rsidRDefault="00000000">
            <w:pPr>
              <w:jc w:val="center"/>
            </w:pPr>
            <w:r>
              <w:rPr>
                <w:rFonts w:ascii="Arial" w:eastAsia="Arial" w:hAnsi="Arial" w:cs="Arial"/>
                <w:b/>
                <w:bCs/>
                <w:color w:val="A8841F"/>
              </w:rPr>
              <w:t>→</w:t>
            </w:r>
          </w:p>
        </w:tc>
        <w:tc>
          <w:tcPr>
            <w:tcW w:w="1500" w:type="dxa"/>
            <w:tcBorders>
              <w:top w:val="single" w:sz="2" w:space="0" w:color="CCCCCC"/>
              <w:left w:val="single" w:sz="2" w:space="0" w:color="CCCCCC"/>
              <w:bottom w:val="single" w:sz="2" w:space="0" w:color="CCCCCC"/>
              <w:right w:val="single" w:sz="2" w:space="0" w:color="CCCCCC"/>
            </w:tcBorders>
            <w:shd w:val="clear" w:color="auto" w:fill="DCEEEF"/>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RN Validation and</w:t>
            </w:r>
          </w:p>
          <w:p w14:paraId="00000000" w14:textId="77777777" w:rsidR="00590460" w:rsidRDefault="00000000">
            <w:pPr>
              <w:jc w:val="center"/>
            </w:pPr>
            <w:r>
              <w:rPr>
                <w:rFonts w:ascii="Arial" w:eastAsia="Arial" w:hAnsi="Arial" w:cs="Arial"/>
                <w:b/>
                <w:bCs/>
                <w:color w:val="0B0F1A"/>
                <w:sz w:val="14"/>
                <w:szCs w:val="14"/>
              </w:rPr>
              <w:t>Coordination</w:t>
            </w:r>
          </w:p>
        </w:tc>
        <w:tc>
          <w:tcPr>
            <w:tcW w:w="280" w:type="dxa"/>
            <w:vAlign w:val="center"/>
          </w:tcPr>
          <w:p w14:paraId="00000000" w14:textId="77777777" w:rsidR="00590460" w:rsidRDefault="00000000">
            <w:pPr>
              <w:jc w:val="center"/>
            </w:pPr>
            <w:r>
              <w:rPr>
                <w:rFonts w:ascii="Arial" w:eastAsia="Arial" w:hAnsi="Arial" w:cs="Arial"/>
                <w:b/>
                <w:bCs/>
                <w:color w:val="A8841F"/>
              </w:rPr>
              <w:t>→</w:t>
            </w:r>
          </w:p>
        </w:tc>
        <w:tc>
          <w:tcPr>
            <w:tcW w:w="1550" w:type="dxa"/>
            <w:tcBorders>
              <w:top w:val="single" w:sz="2" w:space="0" w:color="CCCCCC"/>
              <w:left w:val="single" w:sz="2" w:space="0" w:color="CCCCCC"/>
              <w:bottom w:val="single" w:sz="2" w:space="0" w:color="CCCCCC"/>
              <w:right w:val="single" w:sz="2" w:space="0" w:color="CCCCCC"/>
            </w:tcBorders>
            <w:shd w:val="clear" w:color="auto" w:fill="FBF0DD"/>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PES Physician Review</w:t>
            </w:r>
          </w:p>
          <w:p w14:paraId="00000000" w14:textId="77777777" w:rsidR="00590460" w:rsidRDefault="00000000">
            <w:pPr>
              <w:jc w:val="center"/>
            </w:pPr>
            <w:r>
              <w:rPr>
                <w:rFonts w:ascii="Arial" w:eastAsia="Arial" w:hAnsi="Arial" w:cs="Arial"/>
                <w:b/>
                <w:bCs/>
                <w:color w:val="0B0F1A"/>
                <w:sz w:val="14"/>
                <w:szCs w:val="14"/>
              </w:rPr>
              <w:t>of Red Cases</w:t>
            </w:r>
          </w:p>
        </w:tc>
        <w:tc>
          <w:tcPr>
            <w:tcW w:w="280" w:type="dxa"/>
            <w:vAlign w:val="center"/>
          </w:tcPr>
          <w:p w14:paraId="00000000" w14:textId="77777777" w:rsidR="00590460" w:rsidRDefault="00000000">
            <w:pPr>
              <w:jc w:val="center"/>
            </w:pPr>
            <w:r>
              <w:rPr>
                <w:rFonts w:ascii="Arial" w:eastAsia="Arial" w:hAnsi="Arial" w:cs="Arial"/>
                <w:b/>
                <w:bCs/>
                <w:color w:val="A8841F"/>
              </w:rPr>
              <w:t>→</w:t>
            </w:r>
          </w:p>
        </w:tc>
        <w:tc>
          <w:tcPr>
            <w:tcW w:w="1130" w:type="dxa"/>
            <w:tcBorders>
              <w:top w:val="single" w:sz="2" w:space="0" w:color="CCCCCC"/>
              <w:left w:val="single" w:sz="2" w:space="0" w:color="CCCCCC"/>
              <w:bottom w:val="single" w:sz="2" w:space="0" w:color="CCCCCC"/>
              <w:right w:val="single" w:sz="2" w:space="0" w:color="CCCCCC"/>
            </w:tcBorders>
            <w:shd w:val="clear" w:color="auto" w:fill="E4EEEF"/>
            <w:tcMar>
              <w:top w:w="60" w:type="dxa"/>
              <w:left w:w="80" w:type="dxa"/>
              <w:bottom w:w="60" w:type="dxa"/>
              <w:right w:w="80" w:type="dxa"/>
            </w:tcMar>
            <w:vAlign w:val="center"/>
          </w:tcPr>
          <w:p w14:paraId="00000000" w14:textId="77777777" w:rsidR="00590460" w:rsidRDefault="00000000">
            <w:pPr>
              <w:jc w:val="center"/>
            </w:pPr>
            <w:r>
              <w:rPr>
                <w:rFonts w:ascii="Arial" w:eastAsia="Arial" w:hAnsi="Arial" w:cs="Arial"/>
                <w:b/>
                <w:bCs/>
                <w:color w:val="0B0F1A"/>
                <w:sz w:val="14"/>
                <w:szCs w:val="14"/>
              </w:rPr>
              <w:t>PCP Decision</w:t>
            </w:r>
          </w:p>
          <w:p w14:paraId="00000000" w14:textId="77777777" w:rsidR="00590460" w:rsidRDefault="00000000">
            <w:pPr>
              <w:jc w:val="center"/>
            </w:pPr>
            <w:r>
              <w:rPr>
                <w:rFonts w:ascii="Arial" w:eastAsia="Arial" w:hAnsi="Arial" w:cs="Arial"/>
                <w:b/>
                <w:bCs/>
                <w:color w:val="0B0F1A"/>
                <w:sz w:val="14"/>
                <w:szCs w:val="14"/>
              </w:rPr>
              <w:t>and Action</w:t>
            </w:r>
          </w:p>
        </w:tc>
      </w:tr>
    </w:tbl>
    <w:p w14:paraId="16914425"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04  </w:t>
      </w:r>
      <w:r>
        <w:rPr>
          <w:rFonts w:ascii="Arial" w:eastAsia="Arial" w:hAnsi="Arial" w:cs="Arial"/>
          <w:b/>
          <w:bCs/>
          <w:color w:val="0B0F1A"/>
          <w:sz w:val="16"/>
          <w:szCs w:val="16"/>
        </w:rPr>
        <w:t>WHY IT MATTERS</w:t>
      </w:r>
    </w:p>
    <w:p w14:paraId="5DF00B44" w14:textId="77777777" w:rsidR="00590460" w:rsidRDefault="00000000">
      <w:pPr>
        <w:spacing w:after="80"/>
      </w:pPr>
      <w:r>
        <w:rPr>
          <w:rFonts w:ascii="Georgia" w:eastAsia="Georgia" w:hAnsi="Georgia" w:cs="Georgia"/>
          <w:color w:val="444444"/>
          <w:sz w:val="17"/>
          <w:szCs w:val="17"/>
        </w:rPr>
        <w:t>Physician shortages are accelerating and burnout is at crisis levels. Value-based care has created direct financial accountability for avoidable hospitalizations and ED visits — exactly the utilization events that interval deterioration produces. Monitoring platforms already collect more between-visit data than ever; the gap between data collected and clinical action taken is widening, not narrowing. PES closes that gap by giving practices clinical visibility, validated prioritization, and efficient escalation — without disrupting existing vendor relationships, RPM/RTM programs, or care management workflows.</w:t>
      </w:r>
    </w:p>
    <w:p w14:paraId="5CED2903"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05  </w:t>
      </w:r>
      <w:r>
        <w:rPr>
          <w:rFonts w:ascii="Arial" w:eastAsia="Arial" w:hAnsi="Arial" w:cs="Arial"/>
          <w:b/>
          <w:bCs/>
          <w:color w:val="0B0F1A"/>
          <w:sz w:val="16"/>
          <w:szCs w:val="16"/>
        </w:rPr>
        <w:t>PILOT OVERVIEW</w:t>
      </w:r>
    </w:p>
    <w:p w14:paraId="114B34DB" w14:textId="77777777" w:rsidR="00590460" w:rsidRDefault="00000000">
      <w:pPr>
        <w:spacing w:after="80"/>
      </w:pPr>
      <w:r>
        <w:rPr>
          <w:rFonts w:ascii="Georgia" w:eastAsia="Georgia" w:hAnsi="Georgia" w:cs="Georgia"/>
          <w:color w:val="444444"/>
          <w:sz w:val="17"/>
          <w:szCs w:val="17"/>
        </w:rPr>
        <w:t>A proposed six-month pilot targeting approximately 100 high-risk chronic disease patients, with a midpoint assessment at 90 days, delivered in partnership with Healthcare Resolution Services (HCRS) supporting patient enrollment, care coordination, and implementation. CHS deploys the clinical intelligence and escalation layer — structured outreach, ambient AI documentation and preliminary classification, RN validation, and PES physician review and clinical summaries for Red cases. Outcomes are measured across eight defined metrics, including ED utilization, unplanned admissions, time to clinical awareness, and PCP satisfaction. No existing systems change.</w:t>
      </w:r>
    </w:p>
    <w:p w14:paraId="0D376418" w14:textId="77777777" w:rsidR="00590460" w:rsidRDefault="00000000">
      <w:pPr>
        <w:pBdr>
          <w:bottom w:val="single" w:sz="6" w:space="2" w:color="A8841F"/>
        </w:pBdr>
        <w:spacing w:before="140" w:after="40"/>
      </w:pPr>
      <w:r>
        <w:rPr>
          <w:rFonts w:ascii="Arial" w:eastAsia="Arial" w:hAnsi="Arial" w:cs="Arial"/>
          <w:b/>
          <w:bCs/>
          <w:color w:val="A8841F"/>
          <w:sz w:val="16"/>
          <w:szCs w:val="16"/>
        </w:rPr>
        <w:t xml:space="preserve">06  </w:t>
      </w:r>
      <w:r>
        <w:rPr>
          <w:rFonts w:ascii="Arial" w:eastAsia="Arial" w:hAnsi="Arial" w:cs="Arial"/>
          <w:b/>
          <w:bCs/>
          <w:color w:val="0B0F1A"/>
          <w:sz w:val="16"/>
          <w:szCs w:val="16"/>
        </w:rPr>
        <w:t>QUESTIONS FOR HEALTHCARE LEADERS</w:t>
      </w:r>
    </w:p>
    <w:p w14:paraId="2107987B" w14:textId="77777777" w:rsidR="00590460" w:rsidRDefault="00000000">
      <w:pPr>
        <w:spacing w:after="40"/>
      </w:pPr>
      <w:r>
        <w:rPr>
          <w:rFonts w:ascii="Arial" w:eastAsia="Arial" w:hAnsi="Arial" w:cs="Arial"/>
          <w:b/>
          <w:bCs/>
          <w:color w:val="0F5E6A"/>
          <w:sz w:val="17"/>
          <w:szCs w:val="17"/>
        </w:rPr>
        <w:t xml:space="preserve">›  </w:t>
      </w:r>
      <w:r>
        <w:rPr>
          <w:rFonts w:ascii="Georgia" w:eastAsia="Georgia" w:hAnsi="Georgia" w:cs="Georgia"/>
          <w:color w:val="444444"/>
          <w:sz w:val="17"/>
          <w:szCs w:val="17"/>
        </w:rPr>
        <w:t>Does this address a meaningful gap in your current population health or care management strategy?</w:t>
      </w:r>
    </w:p>
    <w:p w14:paraId="3B715D28" w14:textId="77777777" w:rsidR="00590460" w:rsidRDefault="00000000">
      <w:pPr>
        <w:spacing w:after="40"/>
      </w:pPr>
      <w:r>
        <w:rPr>
          <w:rFonts w:ascii="Arial" w:eastAsia="Arial" w:hAnsi="Arial" w:cs="Arial"/>
          <w:b/>
          <w:bCs/>
          <w:color w:val="0F5E6A"/>
          <w:sz w:val="17"/>
          <w:szCs w:val="17"/>
        </w:rPr>
        <w:t xml:space="preserve">›  </w:t>
      </w:r>
      <w:r>
        <w:rPr>
          <w:rFonts w:ascii="Georgia" w:eastAsia="Georgia" w:hAnsi="Georgia" w:cs="Georgia"/>
          <w:color w:val="444444"/>
          <w:sz w:val="17"/>
          <w:szCs w:val="17"/>
        </w:rPr>
        <w:t>Where would this fit within your existing RPM/RTM, CCM, or care coordination programs?</w:t>
      </w:r>
    </w:p>
    <w:p w14:paraId="070FA366" w14:textId="77777777" w:rsidR="00590460" w:rsidRDefault="00000000">
      <w:pPr>
        <w:spacing w:after="40"/>
      </w:pPr>
      <w:r>
        <w:rPr>
          <w:rFonts w:ascii="Arial" w:eastAsia="Arial" w:hAnsi="Arial" w:cs="Arial"/>
          <w:b/>
          <w:bCs/>
          <w:color w:val="0F5E6A"/>
          <w:sz w:val="17"/>
          <w:szCs w:val="17"/>
        </w:rPr>
        <w:t xml:space="preserve">›  </w:t>
      </w:r>
      <w:r>
        <w:rPr>
          <w:rFonts w:ascii="Georgia" w:eastAsia="Georgia" w:hAnsi="Georgia" w:cs="Georgia"/>
          <w:color w:val="444444"/>
          <w:sz w:val="17"/>
          <w:szCs w:val="17"/>
        </w:rPr>
        <w:t>What questions or concerns would your clinical, technology, or compliance teams raise?</w:t>
      </w:r>
    </w:p>
    <w:p w14:paraId="7DFC27B0" w14:textId="77777777" w:rsidR="00590460" w:rsidRDefault="00000000">
      <w:pPr>
        <w:spacing w:after="40"/>
      </w:pPr>
      <w:r>
        <w:rPr>
          <w:rFonts w:ascii="Arial" w:eastAsia="Arial" w:hAnsi="Arial" w:cs="Arial"/>
          <w:b/>
          <w:bCs/>
          <w:color w:val="0F5E6A"/>
          <w:sz w:val="17"/>
          <w:szCs w:val="17"/>
        </w:rPr>
        <w:t xml:space="preserve">›  </w:t>
      </w:r>
      <w:r>
        <w:rPr>
          <w:rFonts w:ascii="Georgia" w:eastAsia="Georgia" w:hAnsi="Georgia" w:cs="Georgia"/>
          <w:color w:val="444444"/>
          <w:sz w:val="17"/>
          <w:szCs w:val="17"/>
        </w:rPr>
        <w:t>Would this be worth a further conversation with your population health team?</w:t>
      </w:r>
    </w:p>
    <w:p w14:paraId="4D8B8E83" w14:textId="77777777" w:rsidR="00590460" w:rsidRDefault="00000000">
      <w:pPr>
        <w:pBdr>
          <w:top w:val="single" w:sz="8" w:space="4" w:color="0B0F1A"/>
        </w:pBdr>
        <w:spacing w:before="140"/>
      </w:pPr>
      <w:r>
        <w:rPr>
          <w:rFonts w:ascii="Arial" w:eastAsia="Arial" w:hAnsi="Arial" w:cs="Arial"/>
          <w:b/>
          <w:bCs/>
          <w:color w:val="0B0F1A"/>
          <w:sz w:val="15"/>
          <w:szCs w:val="15"/>
        </w:rPr>
        <w:t xml:space="preserve">CHS:  </w:t>
      </w:r>
      <w:r>
        <w:rPr>
          <w:rFonts w:ascii="Arial" w:eastAsia="Arial" w:hAnsi="Arial" w:cs="Arial"/>
          <w:color w:val="444444"/>
          <w:sz w:val="15"/>
          <w:szCs w:val="15"/>
        </w:rPr>
        <w:t>Dr. Craig Coleman  |  craig@colemanhealthsvcs.com  |  804-877-6102  |  colemanhealthsvcs.com</w:t>
      </w:r>
    </w:p>
    <w:p w14:paraId="7DE70FED" w14:textId="77777777" w:rsidR="00590460" w:rsidRDefault="00000000">
      <w:r>
        <w:rPr>
          <w:rFonts w:ascii="Arial" w:eastAsia="Arial" w:hAnsi="Arial" w:cs="Arial"/>
          <w:b/>
          <w:bCs/>
          <w:color w:val="0B0F1A"/>
          <w:sz w:val="15"/>
          <w:szCs w:val="15"/>
        </w:rPr>
        <w:t xml:space="preserve">HCRS:  </w:t>
      </w:r>
      <w:r>
        <w:rPr>
          <w:rFonts w:ascii="Arial" w:eastAsia="Arial" w:hAnsi="Arial" w:cs="Arial"/>
          <w:color w:val="444444"/>
          <w:sz w:val="15"/>
          <w:szCs w:val="15"/>
        </w:rPr>
        <w:t>Brenda Doles, RN, MBA  |  bdoles@hcrs-inc.com  |  301-497-1187  |  hcrs-inc.com</w:t>
      </w:r>
    </w:p>
    <w:sectPr w:rsidR="00590460">
      <w:headerReference w:type="default" r:id="rId7"/>
      <w:footerReference w:type="default" r:id="rId8"/>
      <w:pgSz w:w="12240" w:h="15840"/>
      <w:pgMar w:top="620" w:right="700" w:bottom="500" w:left="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36B4" w14:textId="77777777" w:rsidR="00141BE5" w:rsidRDefault="00141BE5">
      <w:r>
        <w:separator/>
      </w:r>
    </w:p>
  </w:endnote>
  <w:endnote w:type="continuationSeparator" w:id="0">
    <w:p w14:paraId="0BA64C4C" w14:textId="77777777" w:rsidR="00141BE5" w:rsidRDefault="0014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7AED" w14:textId="77777777" w:rsidR="00590460" w:rsidRDefault="00000000">
    <w:pPr>
      <w:pBdr>
        <w:top w:val="single" w:sz="4" w:space="4" w:color="CCCCCC"/>
      </w:pBdr>
      <w:spacing w:before="40"/>
    </w:pPr>
    <w:r>
      <w:rPr>
        <w:rFonts w:ascii="Arial" w:eastAsia="Arial" w:hAnsi="Arial" w:cs="Arial"/>
        <w:i/>
        <w:iCs/>
        <w:color w:val="444444"/>
        <w:sz w:val="12"/>
        <w:szCs w:val="12"/>
      </w:rPr>
      <w:t>Prepared for discussion purposes. Not a solicitation. Additional materials available upon request.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73515" w14:textId="77777777" w:rsidR="00141BE5" w:rsidRDefault="00141BE5">
      <w:r>
        <w:separator/>
      </w:r>
    </w:p>
  </w:footnote>
  <w:footnote w:type="continuationSeparator" w:id="0">
    <w:p w14:paraId="0913D346" w14:textId="77777777" w:rsidR="00141BE5" w:rsidRDefault="00141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B26D" w14:textId="77777777" w:rsidR="00590460" w:rsidRDefault="00000000">
    <w:r>
      <w:rPr>
        <w:rFonts w:ascii="Arial" w:eastAsia="Arial" w:hAnsi="Arial" w:cs="Arial"/>
        <w:b/>
        <w:bCs/>
        <w:color w:val="0B0F1A"/>
        <w:sz w:val="15"/>
        <w:szCs w:val="15"/>
      </w:rPr>
      <w:t>COLEMAN HEALTH SERVICES</w:t>
    </w:r>
    <w:r>
      <w:rPr>
        <w:rFonts w:ascii="Arial" w:eastAsia="Arial" w:hAnsi="Arial" w:cs="Arial"/>
        <w:color w:val="0F5E6A"/>
        <w:sz w:val="15"/>
        <w:szCs w:val="15"/>
      </w:rPr>
      <w:t xml:space="preserve">   |   Clinical Intelligence &amp; Escalation Layer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D2D94"/>
    <w:multiLevelType w:val="hybridMultilevel"/>
    <w:tmpl w:val="8E7A5A10"/>
    <w:lvl w:ilvl="0" w:tplc="884C5A1A">
      <w:start w:val="1"/>
      <w:numFmt w:val="bullet"/>
      <w:lvlText w:val="●"/>
      <w:lvlJc w:val="left"/>
      <w:pPr>
        <w:ind w:left="720" w:hanging="360"/>
      </w:pPr>
    </w:lvl>
    <w:lvl w:ilvl="1" w:tplc="07F6C5CC">
      <w:start w:val="1"/>
      <w:numFmt w:val="bullet"/>
      <w:lvlText w:val="○"/>
      <w:lvlJc w:val="left"/>
      <w:pPr>
        <w:ind w:left="1440" w:hanging="360"/>
      </w:pPr>
    </w:lvl>
    <w:lvl w:ilvl="2" w:tplc="DC7AAD82">
      <w:start w:val="1"/>
      <w:numFmt w:val="bullet"/>
      <w:lvlText w:val="■"/>
      <w:lvlJc w:val="left"/>
      <w:pPr>
        <w:ind w:left="2160" w:hanging="360"/>
      </w:pPr>
    </w:lvl>
    <w:lvl w:ilvl="3" w:tplc="D1B243B2">
      <w:start w:val="1"/>
      <w:numFmt w:val="bullet"/>
      <w:lvlText w:val="●"/>
      <w:lvlJc w:val="left"/>
      <w:pPr>
        <w:ind w:left="2880" w:hanging="360"/>
      </w:pPr>
    </w:lvl>
    <w:lvl w:ilvl="4" w:tplc="63040146">
      <w:start w:val="1"/>
      <w:numFmt w:val="bullet"/>
      <w:lvlText w:val="○"/>
      <w:lvlJc w:val="left"/>
      <w:pPr>
        <w:ind w:left="3600" w:hanging="360"/>
      </w:pPr>
    </w:lvl>
    <w:lvl w:ilvl="5" w:tplc="2686386A">
      <w:start w:val="1"/>
      <w:numFmt w:val="bullet"/>
      <w:lvlText w:val="■"/>
      <w:lvlJc w:val="left"/>
      <w:pPr>
        <w:ind w:left="4320" w:hanging="360"/>
      </w:pPr>
    </w:lvl>
    <w:lvl w:ilvl="6" w:tplc="81D2F23A">
      <w:start w:val="1"/>
      <w:numFmt w:val="bullet"/>
      <w:lvlText w:val="●"/>
      <w:lvlJc w:val="left"/>
      <w:pPr>
        <w:ind w:left="5040" w:hanging="360"/>
      </w:pPr>
    </w:lvl>
    <w:lvl w:ilvl="7" w:tplc="1D7225AE">
      <w:start w:val="1"/>
      <w:numFmt w:val="bullet"/>
      <w:lvlText w:val="●"/>
      <w:lvlJc w:val="left"/>
      <w:pPr>
        <w:ind w:left="5760" w:hanging="360"/>
      </w:pPr>
    </w:lvl>
    <w:lvl w:ilvl="8" w:tplc="F55A470A">
      <w:start w:val="1"/>
      <w:numFmt w:val="bullet"/>
      <w:lvlText w:val="●"/>
      <w:lvlJc w:val="left"/>
      <w:pPr>
        <w:ind w:left="6480" w:hanging="360"/>
      </w:pPr>
    </w:lvl>
  </w:abstractNum>
  <w:num w:numId="1" w16cid:durableId="11455110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60"/>
    <w:rsid w:val="00141BE5"/>
    <w:rsid w:val="00574FB5"/>
    <w:rsid w:val="00590460"/>
    <w:rsid w:val="0087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7514"/>
  <w15:docId w15:val="{C2AA4F73-8154-479C-9F4C-DC92FCF5F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craig coleman</cp:lastModifiedBy>
  <cp:revision>2</cp:revision>
  <dcterms:created xsi:type="dcterms:W3CDTF">2026-07-10T03:26:00Z</dcterms:created>
  <dcterms:modified xsi:type="dcterms:W3CDTF">2026-08-13T02:05:00Z</dcterms:modified>
</cp:coreProperties>
</file>